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20"/>
          <w:tab w:val="left" w:pos="900"/>
        </w:tabs>
        <w:bidi w:val="0"/>
        <w:spacing w:after="0" w:line="192" w:lineRule="auto"/>
        <w:ind w:left="180" w:right="0" w:hanging="180"/>
        <w:jc w:val="center"/>
        <w:rPr>
          <w:rFonts w:ascii="Verdana" w:cs="Verdana" w:hAnsi="Verdana" w:eastAsia="Verdana"/>
          <w:b w:val="1"/>
          <w:bCs w:val="1"/>
          <w:sz w:val="72"/>
          <w:szCs w:val="72"/>
          <w:rtl w:val="0"/>
        </w:rPr>
      </w:pPr>
      <w:r>
        <w:rPr>
          <w:rFonts w:ascii="Verdana"/>
          <w:b w:val="1"/>
          <w:bCs w:val="1"/>
          <w:sz w:val="72"/>
          <w:szCs w:val="72"/>
          <w:rtl w:val="0"/>
          <w:lang w:val="en-US"/>
        </w:rPr>
        <w:t xml:space="preserve">PROPHECIES &amp; </w:t>
      </w:r>
      <w:r>
        <w:rPr>
          <w:rFonts w:ascii="Verdana"/>
          <w:b w:val="1"/>
          <w:bCs w:val="1"/>
          <w:sz w:val="72"/>
          <w:szCs w:val="72"/>
          <w:rtl w:val="0"/>
          <w:lang w:val="en-US"/>
        </w:rPr>
        <w:t>THEIR</w:t>
      </w:r>
    </w:p>
    <w:p>
      <w:pPr>
        <w:pStyle w:val="Body"/>
        <w:tabs>
          <w:tab w:val="left" w:pos="720"/>
          <w:tab w:val="left" w:pos="900"/>
        </w:tabs>
        <w:bidi w:val="0"/>
        <w:spacing w:after="0" w:line="192" w:lineRule="auto"/>
        <w:ind w:left="180" w:right="0" w:hanging="180"/>
        <w:jc w:val="center"/>
        <w:rPr>
          <w:rFonts w:ascii="Verdana" w:cs="Verdana" w:hAnsi="Verdana" w:eastAsia="Verdana"/>
          <w:b w:val="1"/>
          <w:bCs w:val="1"/>
          <w:sz w:val="72"/>
          <w:szCs w:val="72"/>
          <w:u w:val="single"/>
          <w:rtl w:val="0"/>
        </w:rPr>
      </w:pPr>
      <w:r>
        <w:rPr>
          <w:rFonts w:ascii="Verdana"/>
          <w:b w:val="1"/>
          <w:bCs w:val="1"/>
          <w:sz w:val="72"/>
          <w:szCs w:val="72"/>
          <w:u w:val="single"/>
          <w:rtl w:val="0"/>
          <w:lang w:val="en-US"/>
        </w:rPr>
        <w:t xml:space="preserve">FULFILLMENT </w:t>
      </w:r>
      <w:r>
        <w:rPr>
          <w:rFonts w:ascii="Verdana"/>
          <w:b w:val="1"/>
          <w:bCs w:val="1"/>
          <w:sz w:val="72"/>
          <w:szCs w:val="72"/>
          <w:u w:val="single"/>
          <w:rtl w:val="0"/>
          <w:lang w:val="en-US"/>
        </w:rPr>
        <w:t>IN</w:t>
      </w:r>
      <w:r>
        <w:rPr>
          <w:rFonts w:ascii="Verdana"/>
          <w:b w:val="1"/>
          <w:bCs w:val="1"/>
          <w:sz w:val="72"/>
          <w:szCs w:val="72"/>
          <w:u w:val="single"/>
          <w:rtl w:val="0"/>
          <w:lang w:val="en-US"/>
        </w:rPr>
        <w:t xml:space="preserve"> CHRIST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u w:val="single"/>
          <w:rtl w:val="0"/>
        </w:rPr>
      </w:pP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1.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Offspring of a Woman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Genesis 3:15, Luke 2:7, Revelation 12:5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Offspring of Abraham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Genesis 18:18, Acts 3:25, Matthew 1:1, Luke 3:34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Offspring of Isaac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Genesis 17:19, Matthew 1:2, Luke 3:34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4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Offspring of Jacob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Numbers 24:17, Genesis 28:14, Luke 3:34, Matthew 1:2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5.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Descended from the Tribe of Judah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Genesis 49:10, Luke 3:33, Matthew 1:2-3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6.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Heir to the Throne of David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Isaiah 9:7, 11:1-5, 2 Samuel 7:13, Jeremiah 23:5, Matt1:1,6, Luke 1:32-33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7. </w:t>
      </w:r>
      <w:r>
        <w:rPr>
          <w:rFonts w:ascii="Times New Roman"/>
          <w:b w:val="1"/>
          <w:bCs w:val="1"/>
          <w:sz w:val="26"/>
          <w:szCs w:val="26"/>
          <w:rtl w:val="0"/>
          <w:lang w:val="de-DE"/>
        </w:rPr>
        <w:t>Born in Bethlehem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Micah 5:2, Matthew 2:1, Luke 2:4-7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8.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Time of Birth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it-IT"/>
        </w:rPr>
        <w:t>Daniel 9:25, Luke 2:1-2, 2:3-7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9.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Born of a Virgin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Isaiah 7:14, Matthew 1:18, Luke 1:26-35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10.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Slaughter of Infants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Jeremiah 31:15, Matthew 2:16-18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11.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Escape into Egypt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Hosea 11:1, Matthew 2:14-15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12. </w:t>
      </w:r>
      <w:r>
        <w:rPr>
          <w:rFonts w:ascii="Times New Roman"/>
          <w:b w:val="1"/>
          <w:bCs w:val="1"/>
          <w:sz w:val="26"/>
          <w:szCs w:val="26"/>
          <w:rtl w:val="0"/>
        </w:rPr>
        <w:t xml:space="preserve">A PROPHET, LIKE MOSES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Deuteronomy 18:15, John 1:45, 16:15, Acts 3:19-26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13.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Ministry in Galilee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Isaiah 9:1-2, Matthew 4:12-16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14.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Priest Like Melchizedek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Psalm 110:4, Zechariah 6:12-13, Hebrews 6:20, 5:5-6, 7:15-17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15.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Rejected by Jews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Isaiah 53:3, Psalm 2:2, John 1:11, 5:43, Luke 4:29, 17:25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16.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Characteristics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Isaiah 11:2, Psalm 45:7, Luke 2:52, 4:18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17.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Triumphal Entry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Zechariah 9:9, Isaiah 62:11, John 12:13-14, Matthew 21:1-11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18.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Betrayed by a Friend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pt-PT"/>
        </w:rPr>
        <w:t>Psalm 41:9, Mark 14:10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19.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Sold for 30 Pieces of Silver, Potter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Times New Roman"/>
          <w:b w:val="1"/>
          <w:bCs w:val="1"/>
          <w:sz w:val="26"/>
          <w:szCs w:val="26"/>
          <w:rtl w:val="0"/>
          <w:lang w:val="nl-NL"/>
        </w:rPr>
        <w:t>s Field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Zechariah 11:12-13, Matthew 26:15, 27:6-7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20. </w:t>
      </w:r>
      <w:r>
        <w:rPr>
          <w:rFonts w:ascii="Times New Roman"/>
          <w:b w:val="1"/>
          <w:bCs w:val="1"/>
          <w:sz w:val="26"/>
          <w:szCs w:val="26"/>
          <w:rtl w:val="0"/>
          <w:lang w:val="de-DE"/>
        </w:rPr>
        <w:t>Judas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en-US"/>
        </w:rPr>
        <w:t xml:space="preserve">’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Position Replaced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Psalm 109:7, Acts 1:18-20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21. </w:t>
      </w:r>
      <w:r>
        <w:rPr>
          <w:rFonts w:ascii="Times New Roman"/>
          <w:b w:val="1"/>
          <w:bCs w:val="1"/>
          <w:sz w:val="26"/>
          <w:szCs w:val="26"/>
          <w:rtl w:val="0"/>
          <w:lang w:val="da-DK"/>
        </w:rPr>
        <w:t>False Witnesses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en-US"/>
        </w:rPr>
        <w:t xml:space="preserve">’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Accused Him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Psalm 27:12, Matthew 26:60-61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22.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Silent When Accused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Isaiah 53:5, Matthew 26:62-63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23.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Struck and Spit Upon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Isaiah 50:6, Mark 14:65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24.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Hated Without Cause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pt-PT"/>
        </w:rPr>
        <w:t>Psalm 69:4, John 15:23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25.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Suffered Vicariously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Isaiah 53:4, Matthew 8:16-17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26.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Hands and Feet Pierced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Psalm 22:16, John 20:27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27.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Crucified With Sinners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Isaiah 53:12, Matthew 27:38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28.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Mocked and Insulted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Psalm 22:6-8, Matthew 27:39-40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29.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Given Gall and Vinegar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pt-PT"/>
        </w:rPr>
        <w:t>Psalm 69:21, John 19:29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30.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Hears Prophetic Words Used As Mockery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Psalm 22:8, Matthew 27:43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31.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Prays for His Enemies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Psalm 109:4, Luke 23:34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32.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Side Pierced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Zechariah 12:10, John 19:34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33.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Soldiers Cast Lots for His Clothes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Psalm 22:18, Matthew 15:24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34.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Not a Bone to Be Broken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Psalm 34:20, John 19:33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35.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Buried With the Rich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Isaiah 53:9, Matthew 27:57-60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36.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Resurrection</w:t>
      </w:r>
      <w:r>
        <w:rPr>
          <w:rFonts w:ascii="Times New Roman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color w:val="000000"/>
          <w:sz w:val="26"/>
          <w:szCs w:val="26"/>
          <w:u w:color="000000"/>
          <w:rtl w:val="0"/>
          <w:lang w:val="en-US"/>
        </w:rPr>
        <w:t>Psalm 16:10, Matthew 28:9</w:t>
      </w:r>
    </w:p>
    <w:p>
      <w:pPr>
        <w:pStyle w:val="Body"/>
        <w:tabs>
          <w:tab w:val="left" w:pos="720"/>
          <w:tab w:val="left" w:pos="900"/>
        </w:tabs>
        <w:bidi w:val="0"/>
        <w:spacing w:after="0" w:line="240" w:lineRule="auto"/>
        <w:ind w:left="180" w:right="0" w:hanging="180"/>
        <w:jc w:val="left"/>
        <w:rPr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37.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Ascension into Heaven</w:t>
      </w:r>
      <w:r>
        <w:rPr>
          <w:rFonts w:ascii="Times New Roman"/>
          <w:b w:val="0"/>
          <w:bCs w:val="0"/>
          <w:color w:val="000000"/>
          <w:sz w:val="26"/>
          <w:szCs w:val="26"/>
          <w:u w:color="000000"/>
          <w:rtl w:val="0"/>
        </w:rPr>
        <w:t xml:space="preserve"> </w:t>
      </w:r>
      <w:r>
        <w:rPr>
          <w:rFonts w:hAnsi="Times New Roman" w:hint="default"/>
          <w:b w:val="0"/>
          <w:bCs w:val="0"/>
          <w:color w:val="000000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Times New Roman"/>
          <w:b w:val="0"/>
          <w:bCs w:val="0"/>
          <w:color w:val="000000"/>
          <w:sz w:val="26"/>
          <w:szCs w:val="26"/>
          <w:u w:color="000000"/>
          <w:rtl w:val="0"/>
          <w:lang w:val="pt-PT"/>
        </w:rPr>
        <w:t>Psalm 68:18, Luke 24:50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10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tl w:val="0"/>
        <w:lang w:val="en-US"/>
      </w:rPr>
      <w:t xml:space="preserve">Feel free to copy and share. </w:t>
      <w:tab/>
      <w:t xml:space="preserve"> </w:t>
    </w:r>
    <w:r>
      <w:rPr>
        <w:rtl w:val="0"/>
        <w:lang w:val="en-US"/>
      </w:rPr>
      <w:t xml:space="preserve">                     </w:t>
    </w:r>
    <w:r>
      <w:drawing>
        <wp:inline distT="0" distB="0" distL="0" distR="0">
          <wp:extent cx="2022924" cy="1227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W Logo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924" cy="122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